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189C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Calculatrice du DMU (2019) Note d'orientation</w:t>
      </w:r>
    </w:p>
    <w:p w14:paraId="3E4CC927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Qu'est-ce-que la calculatrice du DMU ?</w:t>
      </w:r>
    </w:p>
    <w:p w14:paraId="17C9B898" w14:textId="7B1071EE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Au début d'une situation d'extrême urgence humanitaire, les données relatives à la population affectée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sont le produit de facteurs qui dépendent largement de la qualité des informations disponibles avant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la situation d'urgence et qui s'appuient sur la composition démographique de la population ciblée. La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calculatrice du Dispositif minimum d’urgence pour la SSR en situations de crise (DMU) est un outil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qui peut aider les coordinateurs/coordinatrices SSR et les responsables de programme à déterminer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les caractéristiques démographiques de la population touchée à des fins de plaidoyer, de collecte de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fonds et de programmation dès les premiers instants d'une situation d'urgence.</w:t>
      </w:r>
    </w:p>
    <w:p w14:paraId="4931B1D0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</w:p>
    <w:p w14:paraId="44E9313A" w14:textId="06BC824F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SEULS les chiffres de la population affectée sont nécessaires pour utiliser la calculatrice du DMU.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La calculatrice du DMU offre à l'utilisateur un moyen simple d'accéder aux « meilleures données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disponibles » pour chaque population dans un pays et/ou dans une zone infranationale. En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l'absence de données de qualité sur la population affectée, l'outil passe par défaut à des estimations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de constantes mondiales à partir desquelles l'intervention sera définie. De plus, la calculatrice du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DMU prévoit un espace pour que l'utilisateur/utilisatrice ajoute lui-même toute donnée spécifique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éventuellement disponible sur la population cible.</w:t>
      </w:r>
    </w:p>
    <w:p w14:paraId="0C0B3D4C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</w:p>
    <w:p w14:paraId="41124853" w14:textId="08DFC813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Comment utiliser la calculatrice du DMU ?</w:t>
      </w:r>
    </w:p>
    <w:p w14:paraId="756D7237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1. </w:t>
      </w:r>
      <w:r w:rsidRPr="007678F0">
        <w:rPr>
          <w:rFonts w:ascii="ArialMT" w:hAnsi="ArialMT" w:cs="ArialMT"/>
          <w:color w:val="4C4C4C"/>
          <w:lang w:val="fr-FR"/>
        </w:rPr>
        <w:t>Cliquer sur l'onglet « Calculatrice du DMU »</w:t>
      </w:r>
    </w:p>
    <w:p w14:paraId="02C38E90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2. </w:t>
      </w:r>
      <w:r w:rsidRPr="007678F0">
        <w:rPr>
          <w:rFonts w:ascii="ArialMT" w:hAnsi="ArialMT" w:cs="ArialMT"/>
          <w:color w:val="4C4C4C"/>
          <w:lang w:val="fr-FR"/>
        </w:rPr>
        <w:t>Choisir le pays d'origine de la population cible (Cela peut être différent pour les PDI, les</w:t>
      </w:r>
    </w:p>
    <w:p w14:paraId="2340D10D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réfugiés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ou la population d'accueil)</w:t>
      </w:r>
    </w:p>
    <w:p w14:paraId="08A0B60C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3. </w:t>
      </w:r>
      <w:r w:rsidRPr="007678F0">
        <w:rPr>
          <w:rFonts w:ascii="ArialMT" w:hAnsi="ArialMT" w:cs="ArialMT"/>
          <w:color w:val="4C4C4C"/>
          <w:lang w:val="fr-FR"/>
        </w:rPr>
        <w:t>Choisir le niveau national ou infranational de la population cible (dans certains contextes, vous</w:t>
      </w:r>
    </w:p>
    <w:p w14:paraId="18749812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pouvez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choisir le niveau provincial ou municipal)</w:t>
      </w:r>
    </w:p>
    <w:p w14:paraId="4BFA965F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4. </w:t>
      </w:r>
      <w:r w:rsidRPr="007678F0">
        <w:rPr>
          <w:rFonts w:ascii="ArialMT" w:hAnsi="ArialMT" w:cs="ArialMT"/>
          <w:color w:val="4C4C4C"/>
          <w:lang w:val="fr-FR"/>
        </w:rPr>
        <w:t>Saisir le nombre de personnes touchées</w:t>
      </w:r>
    </w:p>
    <w:p w14:paraId="67679E50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5. </w:t>
      </w:r>
      <w:r w:rsidRPr="007678F0">
        <w:rPr>
          <w:rFonts w:ascii="ArialMT" w:hAnsi="ArialMT" w:cs="ArialMT"/>
          <w:color w:val="4C4C4C"/>
          <w:lang w:val="fr-FR"/>
        </w:rPr>
        <w:t>FACULTATIF : Saisir éventuellement les données spécifiques à un site auxquelles vous avez</w:t>
      </w:r>
    </w:p>
    <w:p w14:paraId="0D31612C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éventuellement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accès</w:t>
      </w:r>
    </w:p>
    <w:p w14:paraId="3A697CFF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6. </w:t>
      </w:r>
      <w:r w:rsidRPr="007678F0">
        <w:rPr>
          <w:rFonts w:ascii="ArialMT" w:hAnsi="ArialMT" w:cs="ArialMT"/>
          <w:color w:val="4C4C4C"/>
          <w:lang w:val="fr-FR"/>
        </w:rPr>
        <w:t>Les données seront calculées pour les indicateurs relatifs au DMU y compris la santé maternelle</w:t>
      </w:r>
    </w:p>
    <w:p w14:paraId="7BED1C53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et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néonatale, les contraceptifs, la violence sexuelle, le VIH et d'autres IST</w:t>
      </w:r>
    </w:p>
    <w:p w14:paraId="52648640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7. </w:t>
      </w:r>
      <w:r w:rsidRPr="007678F0">
        <w:rPr>
          <w:rFonts w:ascii="ArialMT" w:hAnsi="ArialMT" w:cs="ArialMT"/>
          <w:color w:val="4C4C4C"/>
          <w:lang w:val="fr-FR"/>
        </w:rPr>
        <w:t>Cliquer sur l'onglet « Visualisations » pour voir les graphiques de base sur vos données qui</w:t>
      </w:r>
    </w:p>
    <w:p w14:paraId="757F26E1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peuvent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être utilisés/adaptés en vue du plaidoyer et de la collecte de fonds</w:t>
      </w:r>
    </w:p>
    <w:p w14:paraId="2A037994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lang w:val="fr-FR"/>
        </w:rPr>
      </w:pPr>
      <w:r w:rsidRPr="007678F0">
        <w:rPr>
          <w:rFonts w:ascii="ArialMT" w:hAnsi="ArialMT" w:cs="ArialMT"/>
          <w:color w:val="FFFFFF"/>
          <w:lang w:val="fr-FR"/>
        </w:rPr>
        <w:t>178</w:t>
      </w:r>
    </w:p>
    <w:p w14:paraId="625BF5B6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En quoi cette version de la calculatrice du DMU (2019)</w:t>
      </w:r>
    </w:p>
    <w:p w14:paraId="7CEE23E0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proofErr w:type="gramStart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est</w:t>
      </w:r>
      <w:proofErr w:type="gramEnd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-elle différente des versions précédentes ?</w:t>
      </w:r>
    </w:p>
    <w:p w14:paraId="56E343A2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Il y a 4 différences majeures entre cette calculatrice du DMU et ses versions précédentes.</w:t>
      </w:r>
    </w:p>
    <w:p w14:paraId="67A6700C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1. </w:t>
      </w:r>
      <w:r w:rsidRPr="007678F0">
        <w:rPr>
          <w:rFonts w:ascii="ArialMT" w:hAnsi="ArialMT" w:cs="ArialMT"/>
          <w:color w:val="4C4C4C"/>
          <w:lang w:val="fr-FR"/>
        </w:rPr>
        <w:t>Les indicateurs fournis seront mis à jour en fonction du DMU révisé (2018).</w:t>
      </w:r>
    </w:p>
    <w:p w14:paraId="0C6AE574" w14:textId="60F135CC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2. </w:t>
      </w:r>
      <w:r w:rsidRPr="007678F0">
        <w:rPr>
          <w:rFonts w:ascii="ArialMT" w:hAnsi="ArialMT" w:cs="ArialMT"/>
          <w:color w:val="4C4C4C"/>
          <w:lang w:val="fr-FR"/>
        </w:rPr>
        <w:t>Une nouvelle fonctionnalité permet aux données spécifiques à un pays (si elles existent) sur la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population touchée de passer outre les constantes globales si aucune donnée spécifique à un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site n'est disponible.</w:t>
      </w:r>
    </w:p>
    <w:p w14:paraId="7BF14D82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3. </w:t>
      </w:r>
      <w:r w:rsidRPr="007678F0">
        <w:rPr>
          <w:rFonts w:ascii="ArialMT" w:hAnsi="ArialMT" w:cs="ArialMT"/>
          <w:color w:val="4C4C4C"/>
          <w:lang w:val="fr-FR"/>
        </w:rPr>
        <w:t>Il existe à présent une visualisation de base des données qui peuvent être utilisées à des fins</w:t>
      </w:r>
    </w:p>
    <w:p w14:paraId="7337612B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de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plaidoyer.</w:t>
      </w:r>
    </w:p>
    <w:p w14:paraId="2E97B305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-BoldMT" w:hAnsi="Arial-BoldMT" w:cs="Arial-BoldMT"/>
          <w:b/>
          <w:bCs/>
          <w:color w:val="B65534"/>
          <w:lang w:val="fr-FR"/>
        </w:rPr>
        <w:t xml:space="preserve">4. </w:t>
      </w:r>
      <w:r w:rsidRPr="007678F0">
        <w:rPr>
          <w:rFonts w:ascii="ArialMT" w:hAnsi="ArialMT" w:cs="ArialMT"/>
          <w:color w:val="4C4C4C"/>
          <w:lang w:val="fr-FR"/>
        </w:rPr>
        <w:t>L'utilisateur doit de nouveau télécharger l'outil Excel à intervalles de quelques mois car le</w:t>
      </w:r>
    </w:p>
    <w:p w14:paraId="0CBB9F29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service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du FNUAP en charge des données mettra constamment à jour les données disponibles</w:t>
      </w:r>
    </w:p>
    <w:p w14:paraId="14D5A14B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à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l'échelon national et infranational.</w:t>
      </w:r>
    </w:p>
    <w:p w14:paraId="2C84481A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</w:p>
    <w:p w14:paraId="629972F7" w14:textId="20A9C8AD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lastRenderedPageBreak/>
        <w:t>Quelles données vais-je obtenir de la calculatrice du</w:t>
      </w:r>
    </w:p>
    <w:p w14:paraId="33DC5AD4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DMU ?</w:t>
      </w:r>
    </w:p>
    <w:p w14:paraId="0D9A3D26" w14:textId="06106A0A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La calculatrice du DMU offre à l'utilisateur/utilisatrice un moyen simple d'accéder aux « meilleures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données disponibles » pour chaque population dans un pays et/ou une zone infranationale. En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l'absence de données de qualité sur la population affectée, l'outil passe par défaut à des estimations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de constantes mondiales à partir desquelles l'intervention sera définie. Si des données nationales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ou infranationales existent, l'outil en ligne remplacera automatiquement les constantes mondiales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par les « meilleures données disponibles » (sur la base du recensement disponible, des enquêtes et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d'autres sources de données pertinentes) au niveau administratif concerné (c'est-à-dire le pays, la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région, la province ou la municipalité). On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peut trouver la source de ces informations dans les cases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« sources » de l'outil.</w:t>
      </w:r>
    </w:p>
    <w:p w14:paraId="032736E1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</w:p>
    <w:p w14:paraId="44AFD8A6" w14:textId="20C3E5A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De plus, la calculatrice du DMU prévoit un espace pour que l'utilisateur/utilisatrice ajoute lui-même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toute donnée spécifique éventuellement disponible sur la population cible dans les cases vertes.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Ces données écrasent les données constantes et les données nationales ou infranationales et 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remplacent en tant que « meilleures données disponibles ».</w:t>
      </w:r>
    </w:p>
    <w:p w14:paraId="48C69F25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</w:p>
    <w:p w14:paraId="29171F1D" w14:textId="164DFBEE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Quels sont les éléments que la calculatrice du DMU ne</w:t>
      </w:r>
    </w:p>
    <w:p w14:paraId="771167F5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proofErr w:type="gramStart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me</w:t>
      </w:r>
      <w:proofErr w:type="gramEnd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 xml:space="preserve"> fournira pas ?</w:t>
      </w:r>
    </w:p>
    <w:p w14:paraId="55ECF866" w14:textId="204558EA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Le DMU comprend un ensemble minimum d'interventions vitales en SSR qui doivent être mises en</w:t>
      </w:r>
      <w:r>
        <w:rPr>
          <w:rFonts w:ascii="ArialMT" w:hAnsi="ArialMT" w:cs="ArialMT"/>
          <w:color w:val="4C4C4C"/>
          <w:lang w:val="fr-FR"/>
        </w:rPr>
        <w:t xml:space="preserve"> </w:t>
      </w:r>
      <w:proofErr w:type="spellStart"/>
      <w:r w:rsidRPr="007678F0">
        <w:rPr>
          <w:rFonts w:ascii="ArialMT" w:hAnsi="ArialMT" w:cs="ArialMT"/>
          <w:color w:val="4C4C4C"/>
          <w:lang w:val="fr-FR"/>
        </w:rPr>
        <w:t>oeuvre</w:t>
      </w:r>
      <w:proofErr w:type="spellEnd"/>
      <w:r w:rsidRPr="007678F0">
        <w:rPr>
          <w:rFonts w:ascii="ArialMT" w:hAnsi="ArialMT" w:cs="ArialMT"/>
          <w:color w:val="4C4C4C"/>
          <w:lang w:val="fr-FR"/>
        </w:rPr>
        <w:t xml:space="preserve"> dès les premiers instants d’une situation d'urgence humanitaire et qui doivent étendues dès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que la situation le permet. La calculatrice du DMU est censée être utilisée au début d'une situation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 xml:space="preserve">d'urgence lorsque le financement, le plaidoyer et la programmation ont pour but de mettre en </w:t>
      </w:r>
      <w:r>
        <w:rPr>
          <w:rFonts w:ascii="ArialMT" w:hAnsi="ArialMT" w:cs="ArialMT"/>
          <w:color w:val="4C4C4C"/>
          <w:lang w:val="fr-FR"/>
        </w:rPr>
        <w:t xml:space="preserve">œuvre </w:t>
      </w:r>
      <w:r w:rsidRPr="007678F0">
        <w:rPr>
          <w:rFonts w:ascii="ArialMT" w:hAnsi="ArialMT" w:cs="ArialMT"/>
          <w:color w:val="4C4C4C"/>
          <w:lang w:val="fr-FR"/>
        </w:rPr>
        <w:t>les interventions du DMU. Il convient de se souvenir que le DMU inclut les services minimums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essentiels, pas seulement les services qui doivent être fournis aux populations affectées. Il faut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élargir le DMU à une intervention en SSR plus spécifique au contexte et complète. La calculatrice du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DMU ne fournira pas toutes les informations sur les indicateurs au-delà de celles qui figurent dans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le DMU pour cette composante de l'intervention.</w:t>
      </w:r>
    </w:p>
    <w:p w14:paraId="43BF29ED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</w:p>
    <w:p w14:paraId="1795BC61" w14:textId="7D950F33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La calculatrice du DMU a pour but d’aider les coordinateurs/coordinatrices SSR et les responsables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de programme lors des premiers stades d'une situation d'urgence. Elle ne sera jamais précise à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100 % ou ne constituera jamais la seule directive programmatique sur laquelle sont fondées 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décisions. Les résultats de la calculatrice doivent être analysés par les coordinateurs/coordinatrices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SSR et responsables de programme pour prendre des décisions concernant leur intervention. 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coordinateurs/coordinatrices et responsables de programme doivent tenir compte des populations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cibles et de la façon dont les caractéristiques de cette population peuvent limiter l'applicabilité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des données fournies dans la calculatrice du DMU. Il est particulièrement important de prendre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en considération la manière dont la situation d'urgence peut avoir impacté les caractéristiques ou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changé les données préalables à la crise.</w:t>
      </w:r>
    </w:p>
    <w:p w14:paraId="5AD6DEC3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</w:p>
    <w:p w14:paraId="666893CD" w14:textId="5A752344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S'il existe de multiples populations cibles pour le programme (par ex., les populations cibles et</w:t>
      </w:r>
    </w:p>
    <w:p w14:paraId="54FB1303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population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d'accueil), souvenez-vous que vous devez travailler avec la calculatrice du DMU</w:t>
      </w:r>
    </w:p>
    <w:p w14:paraId="1E2F28FB" w14:textId="7A2EB10B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séparément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pour chaque population étant donné que les indicateurs peuvent varier considérablement.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Par ailleurs, il est important de se souvenir que certaines populations affectées sont exclues de la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 xml:space="preserve">collecte de données nationales pour des raisons politiques ou </w:t>
      </w:r>
      <w:proofErr w:type="gramStart"/>
      <w:r w:rsidRPr="007678F0">
        <w:rPr>
          <w:rFonts w:ascii="ArialMT" w:hAnsi="ArialMT" w:cs="ArialMT"/>
          <w:color w:val="4C4C4C"/>
          <w:lang w:val="fr-FR"/>
        </w:rPr>
        <w:t>sociales;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si ces groupes sont inclus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dans votre programme, il faut tenir compte des limites des données et procéder à des ajustements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en conséquence.</w:t>
      </w:r>
    </w:p>
    <w:p w14:paraId="102796E2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</w:p>
    <w:p w14:paraId="1243D60A" w14:textId="6C4AE45C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lastRenderedPageBreak/>
        <w:t xml:space="preserve">D'où proviennent les données nationales </w:t>
      </w:r>
      <w:proofErr w:type="gramStart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ou</w:t>
      </w:r>
      <w:proofErr w:type="gramEnd"/>
    </w:p>
    <w:p w14:paraId="4F770198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proofErr w:type="gramStart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infranationales</w:t>
      </w:r>
      <w:proofErr w:type="gramEnd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 xml:space="preserve"> et qui les actualise ?</w:t>
      </w:r>
    </w:p>
    <w:p w14:paraId="69DC6280" w14:textId="12E4ECE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Les données nationales ou infranationales proviennent de différentes sources selon le contexte. Elles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peuvent être issues d'un recensement, d'une enquête ou d'autres données collectées par diverses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agences nationales ou internationales de collecte de données statistiques. La source et l'année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des données figurent toujours dans la partie supérieure de la calculatrice quand vous choisissez un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pays et/ou une région. L'Unité Population et données du Fonds des Nations Unies pour la population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 xml:space="preserve">(FNUAP) procède à la mise à jour constante des informations utilisées par </w:t>
      </w:r>
      <w:proofErr w:type="gramStart"/>
      <w:r w:rsidRPr="007678F0">
        <w:rPr>
          <w:rFonts w:ascii="ArialMT" w:hAnsi="ArialMT" w:cs="ArialMT"/>
          <w:color w:val="4C4C4C"/>
          <w:lang w:val="fr-FR"/>
        </w:rPr>
        <w:t>l'outil;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il est important que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l'utilisateur/utilisatrice télécharge de nouveau l’outil Excel à intervalles de quelques mois ou pour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chaque nouvelle intervention pour faire en sorte d’obtenir les informations les plus récentes.</w:t>
      </w:r>
    </w:p>
    <w:p w14:paraId="6FAA3213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</w:p>
    <w:p w14:paraId="46BBB1B3" w14:textId="73611D33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D'où proviennent les constantes mondiales et qui les</w:t>
      </w:r>
    </w:p>
    <w:p w14:paraId="299CFAC4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proofErr w:type="gramStart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actualise</w:t>
      </w:r>
      <w:proofErr w:type="gramEnd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 xml:space="preserve"> ?</w:t>
      </w:r>
    </w:p>
    <w:p w14:paraId="064D09C6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Les constantes mondiales sont établies en fonction d'une évaluation des pays à revenu faible et</w:t>
      </w:r>
    </w:p>
    <w:p w14:paraId="0C4EB75F" w14:textId="519046BB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intermédiaire</w:t>
      </w:r>
      <w:proofErr w:type="gramEnd"/>
      <w:r w:rsidRPr="007678F0">
        <w:rPr>
          <w:rFonts w:ascii="ArialMT" w:hAnsi="ArialMT" w:cs="ArialMT"/>
          <w:color w:val="4C4C4C"/>
          <w:lang w:val="fr-FR"/>
        </w:rPr>
        <w:t>, assurée par un groupe d'experts et/ou des moyennes issues de contextes humanitaires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et de pays fragiles. Pour plus d'informations, veuillez contacter le Service des situations humanitaires</w:t>
      </w:r>
      <w:r>
        <w:rPr>
          <w:rFonts w:ascii="ArialMT" w:hAnsi="ArialMT" w:cs="ArialMT"/>
          <w:color w:val="4C4C4C"/>
          <w:lang w:val="fr-FR"/>
        </w:rPr>
        <w:t xml:space="preserve"> </w:t>
      </w:r>
      <w:r w:rsidRPr="007678F0">
        <w:rPr>
          <w:rFonts w:ascii="ArialMT" w:hAnsi="ArialMT" w:cs="ArialMT"/>
          <w:color w:val="4C4C4C"/>
          <w:lang w:val="fr-FR"/>
        </w:rPr>
        <w:t>et fragiles du FNUAP.</w:t>
      </w:r>
    </w:p>
    <w:p w14:paraId="53C762F1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</w:p>
    <w:p w14:paraId="42DD7268" w14:textId="26F6592A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Qui peut m'aider à utiliser l'outil ou répondre à mes</w:t>
      </w:r>
    </w:p>
    <w:p w14:paraId="447AD0C7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B65534"/>
          <w:sz w:val="32"/>
          <w:szCs w:val="32"/>
          <w:lang w:val="fr-FR"/>
        </w:rPr>
      </w:pPr>
      <w:proofErr w:type="gramStart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>questions</w:t>
      </w:r>
      <w:proofErr w:type="gramEnd"/>
      <w:r w:rsidRPr="007678F0">
        <w:rPr>
          <w:rFonts w:ascii="Arial-Black" w:hAnsi="Arial-Black" w:cs="Arial-Black"/>
          <w:color w:val="B65534"/>
          <w:sz w:val="32"/>
          <w:szCs w:val="32"/>
          <w:lang w:val="fr-FR"/>
        </w:rPr>
        <w:t xml:space="preserve"> ?</w:t>
      </w:r>
    </w:p>
    <w:p w14:paraId="36A849B2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r w:rsidRPr="007678F0">
        <w:rPr>
          <w:rFonts w:ascii="ArialMT" w:hAnsi="ArialMT" w:cs="ArialMT"/>
          <w:color w:val="4C4C4C"/>
          <w:lang w:val="fr-FR"/>
        </w:rPr>
        <w:t>Le Service des situations humanitaires et fragiles du FNUAP et le Service de la population et</w:t>
      </w:r>
    </w:p>
    <w:p w14:paraId="711FFE9D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du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développement du FNUAP ont organisé un webinaire sur l'utilisation de l'outil auquel qui est</w:t>
      </w:r>
    </w:p>
    <w:p w14:paraId="7377BBC7" w14:textId="77777777" w:rsidR="007678F0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C4C4C"/>
          <w:lang w:val="fr-FR"/>
        </w:rPr>
      </w:pPr>
      <w:proofErr w:type="gramStart"/>
      <w:r w:rsidRPr="007678F0">
        <w:rPr>
          <w:rFonts w:ascii="ArialMT" w:hAnsi="ArialMT" w:cs="ArialMT"/>
          <w:color w:val="4C4C4C"/>
          <w:lang w:val="fr-FR"/>
        </w:rPr>
        <w:t>accessible</w:t>
      </w:r>
      <w:proofErr w:type="gramEnd"/>
      <w:r w:rsidRPr="007678F0">
        <w:rPr>
          <w:rFonts w:ascii="ArialMT" w:hAnsi="ArialMT" w:cs="ArialMT"/>
          <w:color w:val="4C4C4C"/>
          <w:lang w:val="fr-FR"/>
        </w:rPr>
        <w:t xml:space="preserve"> via le site Internet du FNUAP.</w:t>
      </w:r>
    </w:p>
    <w:p w14:paraId="5D410F49" w14:textId="77777777" w:rsid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C4C4C"/>
          <w:lang w:val="fr-FR"/>
        </w:rPr>
      </w:pPr>
    </w:p>
    <w:p w14:paraId="68319E0A" w14:textId="33CC7CE6" w:rsidR="00673FD1" w:rsidRPr="007678F0" w:rsidRDefault="007678F0" w:rsidP="007678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C4C4C"/>
          <w:lang w:val="fr-FR"/>
        </w:rPr>
      </w:pP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En fonction du pays où vous intervenez, le conseiller régional du FNUAP en matière de</w:t>
      </w:r>
      <w:r>
        <w:rPr>
          <w:rFonts w:ascii="Arial-ItalicMT" w:hAnsi="Arial-ItalicMT" w:cs="Arial-ItalicMT"/>
          <w:i/>
          <w:iCs/>
          <w:color w:val="4C4C4C"/>
          <w:lang w:val="fr-FR"/>
        </w:rPr>
        <w:t xml:space="preserve"> </w:t>
      </w: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questions</w:t>
      </w:r>
      <w:r>
        <w:rPr>
          <w:rFonts w:ascii="Arial-ItalicMT" w:hAnsi="Arial-ItalicMT" w:cs="Arial-ItalicMT"/>
          <w:i/>
          <w:iCs/>
          <w:color w:val="4C4C4C"/>
          <w:lang w:val="fr-FR"/>
        </w:rPr>
        <w:t xml:space="preserve"> </w:t>
      </w: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humanitaires peut apporter une assistance pour l'utilisation de la calculatrice du DMU. Par</w:t>
      </w:r>
      <w:r>
        <w:rPr>
          <w:rFonts w:ascii="Arial-ItalicMT" w:hAnsi="Arial-ItalicMT" w:cs="Arial-ItalicMT"/>
          <w:i/>
          <w:iCs/>
          <w:color w:val="4C4C4C"/>
          <w:lang w:val="fr-FR"/>
        </w:rPr>
        <w:t xml:space="preserve"> </w:t>
      </w: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ailleurs,</w:t>
      </w:r>
      <w:r>
        <w:rPr>
          <w:rFonts w:ascii="Arial-ItalicMT" w:hAnsi="Arial-ItalicMT" w:cs="Arial-ItalicMT"/>
          <w:i/>
          <w:iCs/>
          <w:color w:val="4C4C4C"/>
          <w:lang w:val="fr-FR"/>
        </w:rPr>
        <w:t xml:space="preserve"> </w:t>
      </w: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 xml:space="preserve">n'hésitez pas à adresser un </w:t>
      </w:r>
      <w:proofErr w:type="gramStart"/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email</w:t>
      </w:r>
      <w:proofErr w:type="gramEnd"/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 xml:space="preserve"> à </w:t>
      </w:r>
      <w:r w:rsidRPr="007678F0">
        <w:rPr>
          <w:rFonts w:ascii="Arial-ItalicMT" w:hAnsi="Arial-ItalicMT" w:cs="Arial-ItalicMT"/>
          <w:i/>
          <w:iCs/>
          <w:color w:val="B65534"/>
          <w:lang w:val="fr-FR"/>
        </w:rPr>
        <w:t xml:space="preserve">Humanitarian-SRHSupplies@unfpa.org </w:t>
      </w: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pour obtenir une</w:t>
      </w:r>
      <w:r>
        <w:rPr>
          <w:rFonts w:ascii="Arial-ItalicMT" w:hAnsi="Arial-ItalicMT" w:cs="Arial-ItalicMT"/>
          <w:i/>
          <w:iCs/>
          <w:color w:val="4C4C4C"/>
          <w:lang w:val="fr-FR"/>
        </w:rPr>
        <w:t xml:space="preserve"> </w:t>
      </w:r>
      <w:r w:rsidRPr="007678F0">
        <w:rPr>
          <w:rFonts w:ascii="Arial-ItalicMT" w:hAnsi="Arial-ItalicMT" w:cs="Arial-ItalicMT"/>
          <w:i/>
          <w:iCs/>
          <w:color w:val="4C4C4C"/>
          <w:lang w:val="fr-FR"/>
        </w:rPr>
        <w:t>assistance de la part des collègues du Service des situations humanitaires et fragiles du FNUAP.</w:t>
      </w:r>
    </w:p>
    <w:sectPr w:rsidR="00673FD1" w:rsidRPr="007678F0" w:rsidSect="00B0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F0"/>
    <w:rsid w:val="000446EB"/>
    <w:rsid w:val="00505179"/>
    <w:rsid w:val="005763FA"/>
    <w:rsid w:val="007678F0"/>
    <w:rsid w:val="00B02D5A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506B"/>
  <w15:chartTrackingRefBased/>
  <w15:docId w15:val="{18DA9317-33B8-42AE-8D80-C1CDF9D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Alison Greer</cp:lastModifiedBy>
  <cp:revision>1</cp:revision>
  <dcterms:created xsi:type="dcterms:W3CDTF">2020-09-14T18:20:00Z</dcterms:created>
  <dcterms:modified xsi:type="dcterms:W3CDTF">2020-09-14T18:27:00Z</dcterms:modified>
</cp:coreProperties>
</file>