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473B" w14:textId="77777777" w:rsidR="00827F29" w:rsidRDefault="00827F29" w:rsidP="00827F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1D0264" wp14:editId="7FF1BC12">
            <wp:simplePos x="0" y="0"/>
            <wp:positionH relativeFrom="column">
              <wp:posOffset>-352425</wp:posOffset>
            </wp:positionH>
            <wp:positionV relativeFrom="paragraph">
              <wp:posOffset>-219075</wp:posOffset>
            </wp:positionV>
            <wp:extent cx="1476375" cy="728980"/>
            <wp:effectExtent l="0" t="0" r="9525" b="0"/>
            <wp:wrapNone/>
            <wp:docPr id="2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6D3">
        <w:rPr>
          <w:noProof/>
        </w:rPr>
        <w:drawing>
          <wp:anchor distT="0" distB="0" distL="114300" distR="114300" simplePos="0" relativeHeight="251661312" behindDoc="1" locked="0" layoutInCell="1" allowOverlap="1" wp14:anchorId="77C90794" wp14:editId="7634C182">
            <wp:simplePos x="0" y="0"/>
            <wp:positionH relativeFrom="column">
              <wp:posOffset>6428740</wp:posOffset>
            </wp:positionH>
            <wp:positionV relativeFrom="paragraph">
              <wp:posOffset>-286385</wp:posOffset>
            </wp:positionV>
            <wp:extent cx="1986915" cy="791210"/>
            <wp:effectExtent l="0" t="0" r="0" b="8890"/>
            <wp:wrapNone/>
            <wp:docPr id="7" name="Picture 2" descr="C:\Users\Claude Sabwa\Pictures\Cluster Nord Ki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C:\Users\Claude Sabwa\Pictures\Cluster Nord Ki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F08518" wp14:editId="062EE714">
            <wp:simplePos x="0" y="0"/>
            <wp:positionH relativeFrom="column">
              <wp:posOffset>1362075</wp:posOffset>
            </wp:positionH>
            <wp:positionV relativeFrom="paragraph">
              <wp:posOffset>-228600</wp:posOffset>
            </wp:positionV>
            <wp:extent cx="4980205" cy="7550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GTS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151" cy="758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676E0" w14:textId="77777777" w:rsidR="00827F29" w:rsidRDefault="00827F29" w:rsidP="00827F29">
      <w:pPr>
        <w:jc w:val="center"/>
      </w:pPr>
    </w:p>
    <w:p w14:paraId="6AFB6469" w14:textId="77777777" w:rsidR="00827F29" w:rsidRDefault="00827F29" w:rsidP="00827F29">
      <w:pPr>
        <w:jc w:val="center"/>
        <w:rPr>
          <w:rFonts w:asciiTheme="minorHAnsi" w:hAnsiTheme="minorHAnsi"/>
          <w:sz w:val="22"/>
          <w:szCs w:val="22"/>
        </w:rPr>
      </w:pPr>
    </w:p>
    <w:p w14:paraId="494805B5" w14:textId="77777777" w:rsidR="00827F29" w:rsidRDefault="00827F29" w:rsidP="00827F29">
      <w:pPr>
        <w:jc w:val="center"/>
        <w:rPr>
          <w:rFonts w:asciiTheme="minorHAnsi" w:hAnsiTheme="minorHAnsi"/>
          <w:sz w:val="22"/>
          <w:szCs w:val="22"/>
        </w:rPr>
      </w:pPr>
    </w:p>
    <w:p w14:paraId="6B0FCA71" w14:textId="77777777" w:rsidR="00827F29" w:rsidRDefault="00827F29" w:rsidP="00827F29">
      <w:pPr>
        <w:jc w:val="center"/>
        <w:rPr>
          <w:rFonts w:asciiTheme="minorHAnsi" w:hAnsiTheme="minorHAnsi"/>
          <w:sz w:val="22"/>
          <w:szCs w:val="22"/>
        </w:rPr>
      </w:pPr>
    </w:p>
    <w:p w14:paraId="57D63B26" w14:textId="77777777" w:rsidR="00827F29" w:rsidRDefault="00827F29" w:rsidP="00827F2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COMPTE RENDU DE LA REUNION </w:t>
      </w:r>
      <w:proofErr w:type="gramStart"/>
      <w:r>
        <w:rPr>
          <w:rFonts w:asciiTheme="minorHAnsi" w:hAnsiTheme="minorHAnsi"/>
          <w:b/>
          <w:sz w:val="22"/>
          <w:szCs w:val="22"/>
        </w:rPr>
        <w:t>ORDINAIRE  N</w:t>
      </w:r>
      <w:proofErr w:type="gramEnd"/>
      <w:r>
        <w:rPr>
          <w:rFonts w:asciiTheme="minorHAnsi" w:hAnsiTheme="minorHAnsi"/>
          <w:b/>
          <w:sz w:val="22"/>
          <w:szCs w:val="22"/>
        </w:rPr>
        <w:t>° 03/GTSR/DMU/04/2019</w:t>
      </w:r>
    </w:p>
    <w:p w14:paraId="50A80270" w14:textId="77777777" w:rsidR="00827F29" w:rsidRDefault="00827F29" w:rsidP="00827F29">
      <w:pPr>
        <w:jc w:val="both"/>
        <w:rPr>
          <w:rFonts w:asciiTheme="minorHAnsi" w:hAnsiTheme="minorHAnsi"/>
          <w:sz w:val="22"/>
          <w:szCs w:val="22"/>
        </w:rPr>
      </w:pPr>
    </w:p>
    <w:p w14:paraId="5872502A" w14:textId="77777777" w:rsidR="00827F29" w:rsidRDefault="00827F29" w:rsidP="00827F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Lieu</w:t>
      </w:r>
      <w:r>
        <w:rPr>
          <w:rFonts w:asciiTheme="minorHAnsi" w:hAnsiTheme="minorHAnsi"/>
          <w:sz w:val="22"/>
          <w:szCs w:val="22"/>
        </w:rPr>
        <w:t xml:space="preserve"> : Salle de Réunions/UNFPA BD GOMA              </w:t>
      </w:r>
      <w:r>
        <w:rPr>
          <w:rFonts w:asciiTheme="minorHAnsi" w:hAnsiTheme="minorHAnsi"/>
          <w:sz w:val="22"/>
          <w:szCs w:val="22"/>
          <w:u w:val="single"/>
        </w:rPr>
        <w:t>Date</w:t>
      </w:r>
      <w:r w:rsidR="000D0276">
        <w:rPr>
          <w:rFonts w:asciiTheme="minorHAnsi" w:hAnsiTheme="minorHAnsi"/>
          <w:sz w:val="22"/>
          <w:szCs w:val="22"/>
        </w:rPr>
        <w:t> : le 02/04</w:t>
      </w:r>
      <w:r>
        <w:rPr>
          <w:rFonts w:asciiTheme="minorHAnsi" w:hAnsiTheme="minorHAnsi"/>
          <w:sz w:val="22"/>
          <w:szCs w:val="22"/>
        </w:rPr>
        <w:t xml:space="preserve">/2019              </w:t>
      </w:r>
      <w:r>
        <w:rPr>
          <w:rFonts w:asciiTheme="minorHAnsi" w:hAnsiTheme="minorHAnsi"/>
          <w:sz w:val="22"/>
          <w:szCs w:val="22"/>
          <w:u w:val="single"/>
        </w:rPr>
        <w:t>Heure</w:t>
      </w:r>
      <w:r>
        <w:rPr>
          <w:rFonts w:asciiTheme="minorHAnsi" w:hAnsiTheme="minorHAnsi"/>
          <w:sz w:val="22"/>
          <w:szCs w:val="22"/>
        </w:rPr>
        <w:t> :   14h30’-16h10’</w:t>
      </w:r>
    </w:p>
    <w:p w14:paraId="347A2E0E" w14:textId="77777777" w:rsidR="00827F29" w:rsidRDefault="00827F29" w:rsidP="00827F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Modérateur</w:t>
      </w:r>
      <w:r>
        <w:rPr>
          <w:rFonts w:asciiTheme="minorHAnsi" w:hAnsiTheme="minorHAnsi"/>
          <w:sz w:val="22"/>
          <w:szCs w:val="22"/>
        </w:rPr>
        <w:t xml:space="preserve"> : Dr Jean Paul </w:t>
      </w:r>
      <w:proofErr w:type="spellStart"/>
      <w:r>
        <w:rPr>
          <w:rFonts w:asciiTheme="minorHAnsi" w:hAnsiTheme="minorHAnsi"/>
          <w:sz w:val="22"/>
          <w:szCs w:val="22"/>
        </w:rPr>
        <w:t>Makay</w:t>
      </w:r>
      <w:proofErr w:type="spellEnd"/>
    </w:p>
    <w:p w14:paraId="4E459DE9" w14:textId="77777777" w:rsidR="00827F29" w:rsidRDefault="00827F29" w:rsidP="00827F29">
      <w:pPr>
        <w:pStyle w:val="NoSpacing"/>
      </w:pPr>
    </w:p>
    <w:p w14:paraId="5FC7D0C7" w14:textId="77777777" w:rsidR="00827F29" w:rsidRDefault="00827F29" w:rsidP="00827F29">
      <w:pPr>
        <w:pStyle w:val="NoSpacing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  <w:lang w:val="fr-BE"/>
        </w:rPr>
      </w:pPr>
      <w:r w:rsidRPr="004F0EA1">
        <w:rPr>
          <w:rFonts w:asciiTheme="minorHAnsi" w:hAnsiTheme="minorHAnsi"/>
          <w:b/>
          <w:sz w:val="22"/>
          <w:szCs w:val="22"/>
          <w:u w:val="single"/>
          <w:lang w:val="fr-BE"/>
        </w:rPr>
        <w:t>ORDRE DU JOUR</w:t>
      </w:r>
      <w:r>
        <w:rPr>
          <w:rFonts w:asciiTheme="minorHAnsi" w:hAnsiTheme="minorHAnsi"/>
          <w:sz w:val="22"/>
          <w:szCs w:val="22"/>
          <w:lang w:val="fr-BE"/>
        </w:rPr>
        <w:t> : </w:t>
      </w:r>
    </w:p>
    <w:p w14:paraId="0FA15A08" w14:textId="77777777" w:rsidR="00827F29" w:rsidRDefault="00827F29" w:rsidP="00827F29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Suivi des recommandations de la dernière réunion (du 05 mars 2019)</w:t>
      </w:r>
    </w:p>
    <w:p w14:paraId="3C07A26C" w14:textId="77777777" w:rsidR="00827F29" w:rsidRDefault="00827F29" w:rsidP="00827F29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Tour de table sur la situation SR de la province (Alertes, Gaps, Réponses) </w:t>
      </w:r>
    </w:p>
    <w:p w14:paraId="0BEEE7F2" w14:textId="77777777" w:rsidR="00827F29" w:rsidRPr="000645FD" w:rsidRDefault="00827F29" w:rsidP="00827F29">
      <w:pPr>
        <w:numPr>
          <w:ilvl w:val="0"/>
          <w:numId w:val="1"/>
        </w:numPr>
        <w:shd w:val="clear" w:color="auto" w:fill="FFFFFF"/>
        <w:spacing w:line="20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BE"/>
        </w:rPr>
        <w:t xml:space="preserve">Présentation sur </w:t>
      </w:r>
      <w:r w:rsidRPr="000645FD">
        <w:rPr>
          <w:rFonts w:asciiTheme="minorHAnsi" w:hAnsiTheme="minorHAnsi"/>
          <w:b/>
          <w:bCs/>
          <w:sz w:val="22"/>
          <w:szCs w:val="22"/>
        </w:rPr>
        <w:t>« L</w:t>
      </w:r>
      <w:r>
        <w:rPr>
          <w:rFonts w:asciiTheme="minorHAnsi" w:hAnsiTheme="minorHAnsi"/>
          <w:b/>
          <w:bCs/>
          <w:sz w:val="22"/>
          <w:szCs w:val="22"/>
        </w:rPr>
        <w:t>’évaluation du cluster Santé</w:t>
      </w:r>
      <w:r w:rsidRPr="000645FD">
        <w:rPr>
          <w:rFonts w:asciiTheme="minorHAnsi" w:hAnsiTheme="minorHAnsi"/>
          <w:b/>
          <w:bCs/>
          <w:sz w:val="22"/>
          <w:szCs w:val="22"/>
        </w:rPr>
        <w:t> » (</w:t>
      </w:r>
      <w:r w:rsidRPr="000645FD">
        <w:rPr>
          <w:rFonts w:asciiTheme="minorHAnsi" w:hAnsiTheme="minorHAnsi"/>
          <w:i/>
          <w:iCs/>
          <w:sz w:val="22"/>
          <w:szCs w:val="22"/>
        </w:rPr>
        <w:t>par l</w:t>
      </w:r>
      <w:r>
        <w:rPr>
          <w:rFonts w:asciiTheme="minorHAnsi" w:hAnsiTheme="minorHAnsi"/>
          <w:i/>
          <w:iCs/>
          <w:sz w:val="22"/>
          <w:szCs w:val="22"/>
        </w:rPr>
        <w:t>e cluster lead santé</w:t>
      </w:r>
      <w:r w:rsidRPr="000645FD">
        <w:rPr>
          <w:rFonts w:asciiTheme="minorHAnsi" w:hAnsiTheme="minorHAnsi"/>
          <w:b/>
          <w:bCs/>
          <w:sz w:val="22"/>
          <w:szCs w:val="22"/>
        </w:rPr>
        <w:t>)</w:t>
      </w:r>
    </w:p>
    <w:p w14:paraId="6744F92A" w14:textId="77777777" w:rsidR="00827F29" w:rsidRDefault="00827F29" w:rsidP="00827F29">
      <w:pPr>
        <w:pStyle w:val="ListParagraph"/>
        <w:numPr>
          <w:ilvl w:val="0"/>
          <w:numId w:val="1"/>
        </w:numPr>
        <w:shd w:val="clear" w:color="auto" w:fill="FFFFFF"/>
        <w:spacing w:line="204" w:lineRule="atLeast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Divers </w:t>
      </w:r>
    </w:p>
    <w:p w14:paraId="5C17C0AF" w14:textId="77777777" w:rsidR="00827F29" w:rsidRDefault="00827F29" w:rsidP="00827F29">
      <w:pPr>
        <w:pStyle w:val="ListParagraph"/>
        <w:shd w:val="clear" w:color="auto" w:fill="FFFFFF"/>
        <w:spacing w:line="204" w:lineRule="atLeast"/>
        <w:ind w:left="840"/>
        <w:jc w:val="both"/>
        <w:rPr>
          <w:rFonts w:asciiTheme="minorHAnsi" w:hAnsiTheme="minorHAnsi"/>
          <w:sz w:val="22"/>
          <w:szCs w:val="22"/>
          <w:lang w:val="fr-BE"/>
        </w:rPr>
      </w:pPr>
    </w:p>
    <w:p w14:paraId="1647E027" w14:textId="77777777" w:rsidR="00827F29" w:rsidRDefault="00827F29" w:rsidP="00827F2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</w:p>
    <w:p w14:paraId="5E6F0531" w14:textId="77777777" w:rsidR="00827F29" w:rsidRDefault="00827F29" w:rsidP="00827F29">
      <w:pPr>
        <w:pStyle w:val="ListParagraph"/>
        <w:numPr>
          <w:ilvl w:val="0"/>
          <w:numId w:val="2"/>
        </w:numPr>
        <w:tabs>
          <w:tab w:val="left" w:pos="1329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POINTS SAILLANTS DES DISCUSSIONS</w:t>
      </w:r>
    </w:p>
    <w:tbl>
      <w:tblPr>
        <w:tblpPr w:leftFromText="180" w:rightFromText="180" w:vertAnchor="text" w:horzAnchor="margin" w:tblpXSpec="center" w:tblpY="293"/>
        <w:tblOverlap w:val="never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884"/>
        <w:gridCol w:w="3685"/>
        <w:gridCol w:w="1560"/>
        <w:gridCol w:w="1841"/>
      </w:tblGrid>
      <w:tr w:rsidR="00827F29" w14:paraId="5F7B101A" w14:textId="77777777" w:rsidTr="00632DD6">
        <w:trPr>
          <w:tblHeader/>
        </w:trPr>
        <w:tc>
          <w:tcPr>
            <w:tcW w:w="2766" w:type="dxa"/>
            <w:shd w:val="clear" w:color="auto" w:fill="D9D9D9"/>
          </w:tcPr>
          <w:p w14:paraId="64271E83" w14:textId="77777777" w:rsidR="00827F29" w:rsidRDefault="00827F29" w:rsidP="00632DD6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Points de discussion</w:t>
            </w:r>
          </w:p>
        </w:tc>
        <w:tc>
          <w:tcPr>
            <w:tcW w:w="4884" w:type="dxa"/>
            <w:shd w:val="clear" w:color="auto" w:fill="D9D9D9"/>
          </w:tcPr>
          <w:p w14:paraId="4BCA6F24" w14:textId="77777777" w:rsidR="00827F29" w:rsidRDefault="00827F29" w:rsidP="00632DD6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Commentaires, observation et/ou argumentaires</w:t>
            </w:r>
          </w:p>
        </w:tc>
        <w:tc>
          <w:tcPr>
            <w:tcW w:w="3685" w:type="dxa"/>
            <w:shd w:val="clear" w:color="auto" w:fill="D9D9D9"/>
          </w:tcPr>
          <w:p w14:paraId="301692F8" w14:textId="77777777" w:rsidR="00827F29" w:rsidRDefault="00827F29" w:rsidP="00632DD6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Suggestions/recommandations prises</w:t>
            </w:r>
          </w:p>
        </w:tc>
        <w:tc>
          <w:tcPr>
            <w:tcW w:w="1560" w:type="dxa"/>
            <w:shd w:val="clear" w:color="auto" w:fill="D9D9D9"/>
          </w:tcPr>
          <w:p w14:paraId="6D10F43B" w14:textId="77777777" w:rsidR="00827F29" w:rsidRDefault="00827F29" w:rsidP="00632DD6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Deadline</w:t>
            </w:r>
          </w:p>
        </w:tc>
        <w:tc>
          <w:tcPr>
            <w:tcW w:w="1841" w:type="dxa"/>
            <w:shd w:val="clear" w:color="auto" w:fill="D9D9D9"/>
          </w:tcPr>
          <w:p w14:paraId="3E7667DB" w14:textId="77777777" w:rsidR="00827F29" w:rsidRDefault="00827F29" w:rsidP="00632DD6">
            <w:pPr>
              <w:tabs>
                <w:tab w:val="left" w:pos="132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Responsable</w:t>
            </w:r>
          </w:p>
        </w:tc>
      </w:tr>
      <w:tr w:rsidR="00827F29" w:rsidRPr="000D0276" w14:paraId="4D3F15B2" w14:textId="77777777" w:rsidTr="00632DD6">
        <w:trPr>
          <w:trHeight w:val="2688"/>
        </w:trPr>
        <w:tc>
          <w:tcPr>
            <w:tcW w:w="2766" w:type="dxa"/>
          </w:tcPr>
          <w:p w14:paraId="0F25A398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>
              <w:rPr>
                <w:rFonts w:asciiTheme="minorHAnsi" w:hAnsiTheme="minorHAnsi"/>
                <w:b/>
                <w:lang w:val="fr-FR" w:eastAsia="fr-FR"/>
              </w:rPr>
              <w:t>1. Suivi des recommandations de la réunion précédente</w:t>
            </w:r>
          </w:p>
          <w:p w14:paraId="3201B225" w14:textId="77777777" w:rsidR="00827F29" w:rsidRDefault="00827F29" w:rsidP="00632DD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1C0A90" w14:textId="77777777" w:rsidR="00827F29" w:rsidRDefault="00827F29" w:rsidP="00632DD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CDF6F9" w14:textId="77777777" w:rsidR="00827F29" w:rsidRDefault="00827F29" w:rsidP="00632DD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88A54C" w14:textId="77777777" w:rsidR="00827F29" w:rsidRDefault="00827F29" w:rsidP="00632DD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3A0B63" w14:textId="77777777" w:rsidR="00827F29" w:rsidRDefault="00827F29" w:rsidP="00632DD6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D37FFA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2</w:t>
            </w:r>
            <w:r>
              <w:rPr>
                <w:rFonts w:asciiTheme="minorHAnsi" w:hAnsiTheme="minorHAnsi"/>
                <w:b/>
                <w:lang w:val="fr-FR" w:eastAsia="fr-FR"/>
              </w:rPr>
              <w:t>. Situation humanitaire de la Province (Gaps/alertes/réponses)</w:t>
            </w:r>
          </w:p>
          <w:p w14:paraId="56E15756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DE05CF4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35AC6E5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C8D1942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C0EB931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BE359D3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BF9E95D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D7A7C6A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F03A9FF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A9DA461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CB80A1D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B68AB16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9785FCE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A00427D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703C1BF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662CC4D4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E87F060" w14:textId="77777777" w:rsidR="00827F29" w:rsidRPr="000645FD" w:rsidRDefault="00827F29" w:rsidP="00632DD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Présentation sur </w:t>
            </w:r>
            <w:r w:rsidRPr="000645FD">
              <w:rPr>
                <w:rFonts w:asciiTheme="minorHAnsi" w:hAnsiTheme="minorHAnsi"/>
                <w:b/>
                <w:bCs/>
                <w:sz w:val="22"/>
                <w:szCs w:val="22"/>
              </w:rPr>
              <w:t>« </w:t>
            </w:r>
            <w:r w:rsidR="00632DD6">
              <w:rPr>
                <w:rFonts w:asciiTheme="minorHAnsi" w:hAnsiTheme="minorHAnsi"/>
                <w:b/>
                <w:bCs/>
                <w:sz w:val="22"/>
                <w:szCs w:val="22"/>
              </w:rPr>
              <w:t>L’évaluation du Cluster Santé</w:t>
            </w:r>
            <w:r w:rsidRPr="000645F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 » </w:t>
            </w:r>
            <w:r w:rsidR="000D0276" w:rsidRPr="000645FD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0D0276" w:rsidRPr="000645FD">
              <w:rPr>
                <w:rFonts w:asciiTheme="minorHAnsi" w:hAnsiTheme="minorHAnsi"/>
                <w:i/>
                <w:iCs/>
                <w:sz w:val="22"/>
                <w:szCs w:val="22"/>
              </w:rPr>
              <w:t>par</w:t>
            </w:r>
            <w:r w:rsidR="00632DD6" w:rsidRPr="000645F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l</w:t>
            </w:r>
            <w:r w:rsidR="00632DD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 cluster lead </w:t>
            </w:r>
            <w:r w:rsidR="000D0276">
              <w:rPr>
                <w:rFonts w:asciiTheme="minorHAnsi" w:hAnsiTheme="minorHAnsi"/>
                <w:i/>
                <w:iCs/>
                <w:sz w:val="22"/>
                <w:szCs w:val="22"/>
              </w:rPr>
              <w:t>santé</w:t>
            </w:r>
            <w:r w:rsidR="000D0276" w:rsidRPr="000645F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201D7A47" w14:textId="77777777" w:rsidR="00827F29" w:rsidRDefault="00827F29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8C2BF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BE" w:eastAsia="fr-FR"/>
              </w:rPr>
            </w:pPr>
          </w:p>
          <w:p w14:paraId="6D83E1C4" w14:textId="77777777" w:rsidR="00827F29" w:rsidRDefault="00827F29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77907DF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92FF6F6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40222C6F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A0F7BE8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3F116E77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AC79663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75E10E8E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55F85F70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34721D49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18DA4BF2" w14:textId="77777777" w:rsidR="000D0276" w:rsidRDefault="000D0276" w:rsidP="00632DD6">
            <w:pPr>
              <w:pStyle w:val="Paragraphedeliste1"/>
              <w:spacing w:line="240" w:lineRule="auto"/>
              <w:ind w:left="0"/>
              <w:rPr>
                <w:rFonts w:asciiTheme="minorHAnsi" w:hAnsiTheme="minorHAnsi"/>
                <w:b/>
                <w:lang w:val="fr-FR" w:eastAsia="fr-FR"/>
              </w:rPr>
            </w:pPr>
          </w:p>
          <w:p w14:paraId="09A02EE7" w14:textId="77777777" w:rsidR="00827F29" w:rsidRDefault="00827F29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33F8EE" w14:textId="77777777" w:rsidR="000D0276" w:rsidRDefault="000D0276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E1B853" w14:textId="77777777" w:rsidR="000D0276" w:rsidRDefault="000D0276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91746" w14:textId="77777777" w:rsidR="00827F29" w:rsidRDefault="00827F29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ED171" w14:textId="77777777" w:rsidR="00827F29" w:rsidRDefault="00827F29" w:rsidP="00632DD6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Divers</w:t>
            </w:r>
          </w:p>
          <w:p w14:paraId="02A59D05" w14:textId="77777777" w:rsidR="00827F29" w:rsidRDefault="00827F29" w:rsidP="00632DD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4" w:type="dxa"/>
          </w:tcPr>
          <w:p w14:paraId="26856870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Pr="000645FD">
              <w:rPr>
                <w:rFonts w:asciiTheme="minorHAnsi" w:hAnsiTheme="minorHAnsi"/>
                <w:sz w:val="22"/>
                <w:szCs w:val="22"/>
              </w:rPr>
              <w:t xml:space="preserve">Partager la présentation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PNSA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sur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0645FD">
              <w:rPr>
                <w:rFonts w:asciiTheme="minorHAnsi" w:hAnsiTheme="minorHAnsi"/>
                <w:b/>
                <w:bCs/>
                <w:sz w:val="22"/>
                <w:szCs w:val="22"/>
              </w:rPr>
              <w:t>« La contamination des Adolescents et Jeunes au virus Ebola depuis que l'épidémie est déclarée dans la province du Nord-Kivu »</w:t>
            </w:r>
            <w:r>
              <w:rPr>
                <w:rFonts w:asciiTheme="minorHAnsi" w:hAnsiTheme="minorHAnsi"/>
                <w:sz w:val="22"/>
                <w:szCs w:val="22"/>
              </w:rPr>
              <w:t>: réalisée</w:t>
            </w:r>
          </w:p>
          <w:p w14:paraId="67045D31" w14:textId="77777777" w:rsidR="00827F29" w:rsidRPr="000645FD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Contacter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PASCO pour discuter de la question d’une mise à disposition d’intrants VIH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non réalisée/reconduite </w:t>
            </w:r>
          </w:p>
          <w:p w14:paraId="2D77FCBD" w14:textId="77777777" w:rsidR="00827F29" w:rsidRPr="000645FD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27B3A0" w14:textId="77777777" w:rsidR="00827F29" w:rsidRPr="000645FD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230094" w14:textId="77777777" w:rsidR="00827F29" w:rsidRPr="00827F29" w:rsidRDefault="00827F29" w:rsidP="00827F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ASADEI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(</w:t>
            </w:r>
            <w:r w:rsidRPr="00827F29">
              <w:rPr>
                <w:rFonts w:asciiTheme="minorHAnsi" w:hAnsiTheme="minorHAnsi"/>
                <w:i/>
                <w:sz w:val="22"/>
                <w:szCs w:val="22"/>
              </w:rPr>
              <w:t>Appui à la santé et au développement intégral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) 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nouvelle adhérente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au GTSR, a présenté succinctement son paquet d’interventions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(- sensibilisation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sur la santé de la reproduction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notamment la prévention des grossesses précoces et le VIH/SIDA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 ;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lastRenderedPageBreak/>
              <w:t>accompagnement et réintégration des certaines professionnelle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de sexe </w:t>
            </w:r>
            <w:r>
              <w:rPr>
                <w:rFonts w:asciiTheme="minorHAnsi" w:hAnsiTheme="minorHAnsi"/>
                <w:sz w:val="22"/>
                <w:szCs w:val="22"/>
              </w:rPr>
              <w:t>à travers entre autres des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AGR)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et les réalisations à son actif comme la réinsertion de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22 professionnelles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sexe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dont 4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ont abouti à des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mariages </w:t>
            </w:r>
            <w:r>
              <w:rPr>
                <w:rFonts w:asciiTheme="minorHAnsi" w:hAnsiTheme="minorHAnsi"/>
                <w:sz w:val="22"/>
                <w:szCs w:val="22"/>
              </w:rPr>
              <w:t>en bonne et due forme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.</w:t>
            </w:r>
            <w:r w:rsidR="00632DD6">
              <w:rPr>
                <w:rFonts w:asciiTheme="minorHAnsi" w:hAnsiTheme="minorHAnsi"/>
                <w:sz w:val="22"/>
                <w:szCs w:val="22"/>
              </w:rPr>
              <w:br/>
              <w:t>Le plus grand défi reste la disponibilité des ressources.</w:t>
            </w:r>
          </w:p>
          <w:p w14:paraId="16DA068F" w14:textId="77777777" w:rsidR="00827F29" w:rsidRDefault="00827F29" w:rsidP="00827F29">
            <w:pPr>
              <w:pStyle w:val="ListParagraph"/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3A58CA" w14:textId="77777777" w:rsidR="00827F29" w:rsidRPr="00827F29" w:rsidRDefault="00827F29" w:rsidP="00827F29">
            <w:pPr>
              <w:pStyle w:val="ListParagraph"/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A6D2A1A" w14:textId="77777777" w:rsidR="00827F29" w:rsidRDefault="00827F29" w:rsidP="00827F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7F29">
              <w:rPr>
                <w:rFonts w:asciiTheme="minorHAnsi" w:hAnsiTheme="minorHAnsi"/>
                <w:b/>
                <w:sz w:val="22"/>
                <w:szCs w:val="22"/>
              </w:rPr>
              <w:t>MEMI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A50411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partagé l’information</w:t>
            </w:r>
            <w:r w:rsidRPr="00A504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au sujet</w:t>
            </w:r>
            <w:r w:rsidRPr="00A504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A50411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certains résultats atteints avec son centre médical, notamment : - 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37 accouchement</w:t>
            </w:r>
            <w:r>
              <w:rPr>
                <w:rFonts w:asciiTheme="minorHAnsi" w:hAnsiTheme="minorHAnsi"/>
                <w:sz w:val="22"/>
                <w:szCs w:val="22"/>
              </w:rPr>
              <w:t>s réalisés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dont 4 dystocie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>référé</w:t>
            </w:r>
            <w:r>
              <w:rPr>
                <w:rFonts w:asciiTheme="minorHAnsi" w:hAnsiTheme="minorHAnsi"/>
                <w:sz w:val="22"/>
                <w:szCs w:val="22"/>
              </w:rPr>
              <w:t>es) ; et - u</w:t>
            </w:r>
            <w:r w:rsidRPr="00827F29">
              <w:rPr>
                <w:rFonts w:asciiTheme="minorHAnsi" w:hAnsiTheme="minorHAnsi"/>
                <w:sz w:val="22"/>
                <w:szCs w:val="22"/>
              </w:rPr>
              <w:t xml:space="preserve">ne formation des formateurs de 14 Femmes </w:t>
            </w:r>
            <w:proofErr w:type="gramStart"/>
            <w:r w:rsidRPr="00827F29">
              <w:rPr>
                <w:rFonts w:asciiTheme="minorHAnsi" w:hAnsiTheme="minorHAnsi"/>
                <w:sz w:val="22"/>
                <w:szCs w:val="22"/>
              </w:rPr>
              <w:t xml:space="preserve">leaders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Mudja</w:t>
            </w:r>
            <w:proofErr w:type="spellEnd"/>
            <w:r w:rsidRPr="00827F29">
              <w:rPr>
                <w:rFonts w:asciiTheme="minorHAnsi" w:hAnsiTheme="minorHAnsi"/>
                <w:sz w:val="22"/>
                <w:szCs w:val="22"/>
              </w:rPr>
              <w:t xml:space="preserve"> sur la PFA.</w:t>
            </w:r>
          </w:p>
          <w:p w14:paraId="78F516C9" w14:textId="77777777" w:rsidR="00827F29" w:rsidRDefault="00827F29" w:rsidP="00827F29">
            <w:pPr>
              <w:pStyle w:val="ListParagraph"/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781A13" w14:textId="77777777" w:rsidR="00827F29" w:rsidRDefault="00632DD6" w:rsidP="00827F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MAODE</w:t>
            </w:r>
            <w:r w:rsidR="00827F29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827F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7F29" w:rsidRPr="00A0700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 </w:t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</w:rPr>
              <w:t>alerté sur des cas de décès d’enfants dans une Maternité de Goma, pouvant faire penser à des cas de Maladie à Virus Ebola (MVE).</w:t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</w:rPr>
              <w:br/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u w:val="single"/>
              </w:rPr>
              <w:t>NB</w:t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. Il faut noter </w:t>
            </w:r>
            <w:proofErr w:type="gramStart"/>
            <w:r w:rsidRPr="00A0700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que </w:t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 xml:space="preserve"> cette</w:t>
            </w:r>
            <w:proofErr w:type="gramEnd"/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 xml:space="preserve"> question avait déjà été abordée lors de la réunion du Cluster lead Santé. </w:t>
            </w:r>
            <w:proofErr w:type="gramStart"/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>Investigations faite</w:t>
            </w:r>
            <w:proofErr w:type="gramEnd"/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>, il ne s’agissait en rien de la MVE.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38D2AE3" w14:textId="77777777" w:rsidR="00632DD6" w:rsidRPr="00632DD6" w:rsidRDefault="00632DD6" w:rsidP="00632DD6">
            <w:pPr>
              <w:tabs>
                <w:tab w:val="center" w:pos="8802"/>
                <w:tab w:val="left" w:pos="12450"/>
                <w:tab w:val="left" w:pos="1290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Il s’est agi de faire une brève restitution sur ce qui est ressorti de la récente évaluation faite du cluster santé. </w:t>
            </w:r>
            <w:r w:rsidR="000D0276">
              <w:rPr>
                <w:rFonts w:asciiTheme="minorHAnsi" w:hAnsiTheme="minorHAnsi"/>
                <w:sz w:val="22"/>
                <w:szCs w:val="22"/>
                <w:lang w:val="fr-BE"/>
              </w:rPr>
              <w:t>Outre le processus d’évaluation en ligne, un atelier ad hoc animé par une équipe venue de Genève s’est tenu à Goma en date du 21 mars 2019. Globalement,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28 partenaires </w:t>
            </w:r>
            <w:r w:rsidR="000D0276"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sur 47 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ont </w:t>
            </w:r>
            <w:r w:rsidR="000D027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effectivement 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évalué le cluster</w:t>
            </w:r>
            <w:r w:rsidR="000D0276">
              <w:rPr>
                <w:rFonts w:asciiTheme="minorHAnsi" w:hAnsiTheme="minorHAnsi"/>
                <w:sz w:val="22"/>
                <w:szCs w:val="22"/>
                <w:lang w:val="fr-BE"/>
              </w:rPr>
              <w:t>,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soit 60%. 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t xml:space="preserve">L’évaluation a été faite sur base de </w:t>
            </w:r>
            <w:r w:rsidR="000D0276">
              <w:rPr>
                <w:rFonts w:asciiTheme="minorHAnsi" w:hAnsiTheme="minorHAnsi"/>
                <w:sz w:val="22"/>
                <w:szCs w:val="22"/>
                <w:lang w:val="fr-BE"/>
              </w:rPr>
              <w:t>sept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fonctions</w:t>
            </w:r>
            <w:r w:rsidR="000D0276">
              <w:rPr>
                <w:rFonts w:asciiTheme="minorHAnsi" w:hAnsiTheme="minorHAnsi"/>
                <w:sz w:val="22"/>
                <w:szCs w:val="22"/>
                <w:lang w:val="fr-BE"/>
              </w:rPr>
              <w:t>, auxquelles une côte a été attribuée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14:paraId="49B3142A" w14:textId="77777777" w:rsidR="00632DD6" w:rsidRPr="00632DD6" w:rsidRDefault="000D0276" w:rsidP="00632DD6">
            <w:pPr>
              <w:tabs>
                <w:tab w:val="center" w:pos="8802"/>
                <w:tab w:val="left" w:pos="12450"/>
                <w:tab w:val="left" w:pos="1290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L</w:t>
            </w:r>
            <w:r w:rsidR="00632DD6"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es fonctions 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ayant fait l’objet de l’évaluation ont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fr-BE"/>
              </w:rPr>
              <w:t>été</w:t>
            </w:r>
            <w:r w:rsidR="00632DD6" w:rsidRPr="00632DD6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  <w:proofErr w:type="gramEnd"/>
          </w:p>
          <w:p w14:paraId="761976F5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Soutenir la protection des services,</w:t>
            </w:r>
          </w:p>
          <w:p w14:paraId="49F57DD4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Renseigner la prise de décision stratégique de la coordination humanitaire,</w:t>
            </w:r>
          </w:p>
          <w:p w14:paraId="69E90C59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Planification et développement de la stratégie,</w:t>
            </w:r>
          </w:p>
          <w:p w14:paraId="2C8BA679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Plaidoyer,</w:t>
            </w:r>
          </w:p>
          <w:p w14:paraId="047E3844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Suivre </w:t>
            </w:r>
            <w:r w:rsidR="00B77A58">
              <w:rPr>
                <w:rFonts w:asciiTheme="minorHAnsi" w:hAnsiTheme="minorHAnsi"/>
                <w:sz w:val="22"/>
                <w:szCs w:val="22"/>
                <w:lang w:val="fr-BE"/>
              </w:rPr>
              <w:t>et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rendre compte de la mise en œuvre de la stratégie du cluster et des </w:t>
            </w:r>
            <w:r w:rsidR="00B77A58" w:rsidRPr="00632DD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résultats. </w:t>
            </w:r>
            <w:r w:rsidR="00B77A58">
              <w:rPr>
                <w:rFonts w:asciiTheme="minorHAnsi" w:hAnsiTheme="minorHAnsi"/>
                <w:sz w:val="22"/>
                <w:szCs w:val="22"/>
                <w:lang w:val="fr-BE"/>
              </w:rPr>
              <w:t>R</w:t>
            </w: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ecommander des mesures correctives si nécessaires,</w:t>
            </w:r>
          </w:p>
          <w:p w14:paraId="7941470A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Planification de contingence/ préparation à l’urgence pour les désastres récurrents lorsque cela est faisable et cohérent,</w:t>
            </w:r>
          </w:p>
          <w:p w14:paraId="584F4FA1" w14:textId="77777777" w:rsidR="00632DD6" w:rsidRPr="00632DD6" w:rsidRDefault="00632DD6" w:rsidP="00632D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 w:line="276" w:lineRule="auto"/>
              <w:ind w:left="39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32DD6">
              <w:rPr>
                <w:rFonts w:asciiTheme="minorHAnsi" w:hAnsiTheme="minorHAnsi"/>
                <w:sz w:val="22"/>
                <w:szCs w:val="22"/>
                <w:lang w:val="fr-BE"/>
              </w:rPr>
              <w:t>Redevabilité envers les populations affectées.</w:t>
            </w:r>
          </w:p>
          <w:p w14:paraId="75AEBD36" w14:textId="77777777" w:rsidR="00632DD6" w:rsidRPr="00632DD6" w:rsidRDefault="00632DD6" w:rsidP="00632D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B9DA5C5" w14:textId="77777777" w:rsidR="00632DD6" w:rsidRDefault="000D0276" w:rsidP="00827F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UNFPA : a informé et rappelé l’assemblée selon le cas, que : </w:t>
            </w:r>
          </w:p>
          <w:p w14:paraId="79ED58CB" w14:textId="77777777" w:rsidR="000D0276" w:rsidRDefault="000D0276" w:rsidP="000D0276">
            <w:pPr>
              <w:pStyle w:val="ListParagraph"/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-le 05 mai prochain marque la Journée Internationale de la sage-femme ;</w:t>
            </w:r>
          </w:p>
          <w:p w14:paraId="217468F9" w14:textId="77777777" w:rsidR="00827F29" w:rsidRPr="000D0276" w:rsidRDefault="000D0276" w:rsidP="000D0276">
            <w:pPr>
              <w:pStyle w:val="ListParagraph"/>
              <w:spacing w:after="160" w:line="259" w:lineRule="auto"/>
              <w:ind w:left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-la prochaine réunion du Cluster Santé est prévue pour le jeudi 04 avril à 11 heures au Bureau de l’OMS. </w:t>
            </w:r>
          </w:p>
        </w:tc>
        <w:tc>
          <w:tcPr>
            <w:tcW w:w="3685" w:type="dxa"/>
          </w:tcPr>
          <w:p w14:paraId="09EBCA7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5C1E415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A57D8B6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721AB36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1B2227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9E00B2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3181FA6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F82E64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BC98D8F" w14:textId="77777777" w:rsidR="00632DD6" w:rsidRDefault="00632DD6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E488E47" w14:textId="77777777" w:rsidR="00632DD6" w:rsidRDefault="00632DD6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471CB"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Suggestion 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: Se rapprocher des partenaires PNSA, RACOJ de qui l’ONG peut recevoir des orientations et envisager une complémentarité d’interventions le cas échéant.</w:t>
            </w:r>
          </w:p>
          <w:p w14:paraId="3086FFD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61221A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0A25DE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FFA783C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6E36A8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D7B1AA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6BB6A4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EE973FE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D13D2AE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C863D45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4E954AA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661B402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D4377AE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0534EF0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708296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F2A051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1198E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0227D4C" w14:textId="77777777" w:rsidR="00827F29" w:rsidRDefault="000D0276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br/>
            </w:r>
          </w:p>
          <w:p w14:paraId="262DC818" w14:textId="77777777" w:rsidR="00632DD6" w:rsidRDefault="00632DD6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1471CB"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t>Suggestion 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A0700B">
              <w:rPr>
                <w:rFonts w:asciiTheme="minorHAnsi" w:hAnsiTheme="minorHAnsi"/>
                <w:sz w:val="22"/>
                <w:szCs w:val="22"/>
                <w:highlight w:val="yellow"/>
                <w:lang w:val="fr-BE"/>
              </w:rPr>
              <w:t>Que MAODE intègre la commission qui a en charge la sensibilisation pour mieux appréhender la problématique de la MVE avant de partager certaines alertes.</w:t>
            </w:r>
          </w:p>
          <w:p w14:paraId="4562016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BDBDD1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CBCFEE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98B344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C60DA77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AA9BED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0A9C5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B1B860C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9F2642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2F93EA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EE56AA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23873C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BEC302" w14:textId="77777777" w:rsidR="00827F29" w:rsidRDefault="00827F29" w:rsidP="000D027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lastRenderedPageBreak/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  <w:lang w:val="fr-BE"/>
              </w:rPr>
              <w:br/>
            </w:r>
          </w:p>
          <w:p w14:paraId="534BE72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1EFFC05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EA4036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4523CAC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281DC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630A0B37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35D2D3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89CC14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0B02F11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0A6A5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9DF97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B78729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6D110A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D79A66C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EF2547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9EAA1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EF077B2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1560" w:type="dxa"/>
          </w:tcPr>
          <w:p w14:paraId="5A2CAFB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5F022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E3B01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E68B11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71CDA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AC47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804321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9C157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F147B5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58C8C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1BC5A6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7A4A3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7F1DA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1E73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30D8E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FD727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D8F6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26D01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ECA75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DD791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7C680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B00FF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04EE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F5F77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BE1B85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32752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C4A5E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1E046C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9C6F8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ECAF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6DE9A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A9B02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7345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FEB5CE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B918A6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76B6D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50CC11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B174F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E17BA0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509D0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A56267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BCADC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62C8F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C55FC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F78B1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A0B81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C435E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54EB6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D7E4B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6E754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96308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D0C87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76F1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5ED5B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38FAE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FE900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8AFEB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B18D8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8E847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7D0466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1EB33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E2FFA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137258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1682B9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A1A423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229DA4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068EFF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A88E32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6411E5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0F503D" w14:textId="77777777" w:rsidR="00827F29" w:rsidRDefault="00827F29" w:rsidP="00632DD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860A07" w14:textId="77777777" w:rsidR="00827F29" w:rsidRDefault="00827F29" w:rsidP="00632D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43B8E8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D79EA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EEE6D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1B262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310F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FE9E10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02867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FEDFF2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61D57A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479B82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25C389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CB3B8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B7A54D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4D4D1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936E8E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051986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B0FEA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5FF6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39E7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A3B7E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D26C2F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38D366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6D7D90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76DD39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119A5D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5BC6A3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EE047CA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2ECB80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741D36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57F17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D6E39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E5891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C93FE1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A44C4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0EA904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76CFE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8129566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FA6B02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E7F65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E2D79A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7600E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0E0646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13692C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B68A3D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E2040D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C241E9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6763A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666FFF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76A211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3418E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AC2EA2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785D916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E611D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47077F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4F77B49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418BC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CB04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238337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6D8C48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5B9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E52A29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48F483B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D2B10A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DE898D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4FB38C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8A7ED15" w14:textId="77777777" w:rsidR="00827F29" w:rsidRPr="000D0276" w:rsidRDefault="00827F29" w:rsidP="00632DD6">
            <w:pPr>
              <w:tabs>
                <w:tab w:val="left" w:pos="13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6525"/>
      </w:tblGrid>
      <w:tr w:rsidR="00827F29" w14:paraId="29707004" w14:textId="77777777" w:rsidTr="00632DD6">
        <w:tc>
          <w:tcPr>
            <w:tcW w:w="12960" w:type="dxa"/>
            <w:gridSpan w:val="2"/>
          </w:tcPr>
          <w:p w14:paraId="08302A0E" w14:textId="77777777" w:rsidR="00827F29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Commencée à 14h10’ la réunion s’est terminée à 16h10’</w:t>
            </w:r>
          </w:p>
          <w:p w14:paraId="3ACA0D24" w14:textId="77777777" w:rsidR="00827F29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Fait à Goma, le 12 avril 2019</w:t>
            </w:r>
          </w:p>
          <w:p w14:paraId="7466DE70" w14:textId="77777777" w:rsidR="00827F29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7F29" w14:paraId="1FF30CE1" w14:textId="77777777" w:rsidTr="00632DD6">
        <w:tc>
          <w:tcPr>
            <w:tcW w:w="6435" w:type="dxa"/>
          </w:tcPr>
          <w:p w14:paraId="598610B5" w14:textId="77777777" w:rsidR="00827F29" w:rsidRDefault="00827F29" w:rsidP="00632D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Pour le rapportage,  </w:t>
            </w:r>
          </w:p>
        </w:tc>
        <w:tc>
          <w:tcPr>
            <w:tcW w:w="6525" w:type="dxa"/>
          </w:tcPr>
          <w:p w14:paraId="073BE5FF" w14:textId="77777777" w:rsidR="00827F29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Pour UNFPA, Lead du GT-SR</w:t>
            </w:r>
          </w:p>
        </w:tc>
      </w:tr>
      <w:tr w:rsidR="00827F29" w14:paraId="0825B2A2" w14:textId="77777777" w:rsidTr="00632DD6">
        <w:tc>
          <w:tcPr>
            <w:tcW w:w="6435" w:type="dxa"/>
          </w:tcPr>
          <w:p w14:paraId="4A41D1C7" w14:textId="77777777" w:rsidR="00827F29" w:rsidRPr="00A0700B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0700B">
              <w:rPr>
                <w:rFonts w:asciiTheme="minorHAnsi" w:hAnsiTheme="minorHAnsi"/>
                <w:sz w:val="22"/>
                <w:szCs w:val="22"/>
              </w:rPr>
              <w:t>Juslin</w:t>
            </w:r>
            <w:proofErr w:type="spellEnd"/>
            <w:r w:rsidRPr="00A0700B">
              <w:rPr>
                <w:rFonts w:asciiTheme="minorHAnsi" w:hAnsiTheme="minorHAnsi"/>
                <w:sz w:val="22"/>
                <w:szCs w:val="22"/>
              </w:rPr>
              <w:t xml:space="preserve"> MAHUNO BULEMBE          </w:t>
            </w:r>
          </w:p>
          <w:p w14:paraId="5A19A86B" w14:textId="77777777" w:rsidR="00827F29" w:rsidRPr="00A0700B" w:rsidRDefault="00827F29" w:rsidP="00827F29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700B">
              <w:rPr>
                <w:rFonts w:asciiTheme="minorHAnsi" w:hAnsiTheme="minorHAnsi"/>
                <w:sz w:val="22"/>
                <w:szCs w:val="22"/>
              </w:rPr>
              <w:t>APSME Nord Kivu</w:t>
            </w:r>
          </w:p>
        </w:tc>
        <w:tc>
          <w:tcPr>
            <w:tcW w:w="6525" w:type="dxa"/>
          </w:tcPr>
          <w:p w14:paraId="255EE4A5" w14:textId="77777777" w:rsidR="00827F29" w:rsidRDefault="00827F29" w:rsidP="00632DD6">
            <w:pPr>
              <w:tabs>
                <w:tab w:val="left" w:pos="8325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Dr Jean-Paul MAKAY          </w:t>
            </w:r>
          </w:p>
          <w:p w14:paraId="44764444" w14:textId="77777777" w:rsidR="00827F29" w:rsidRDefault="00827F29" w:rsidP="00632DD6">
            <w:pPr>
              <w:tabs>
                <w:tab w:val="left" w:pos="6480"/>
              </w:tabs>
              <w:spacing w:line="2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Chargé de Programme Humanitaire &amp; SR/PF-UNFPA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942A0BC" w14:textId="77777777" w:rsidR="005E7785" w:rsidRDefault="005E7785"/>
    <w:sectPr w:rsidR="005E7785" w:rsidSect="00632DD6">
      <w:headerReference w:type="default" r:id="rId11"/>
      <w:footerReference w:type="default" r:id="rId12"/>
      <w:pgSz w:w="15840" w:h="12240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E61F" w14:textId="77777777" w:rsidR="00AA5662" w:rsidRDefault="00AA5662">
      <w:r>
        <w:separator/>
      </w:r>
    </w:p>
  </w:endnote>
  <w:endnote w:type="continuationSeparator" w:id="0">
    <w:p w14:paraId="61EBF094" w14:textId="77777777" w:rsidR="00AA5662" w:rsidRDefault="00AA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01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50918" w14:textId="77777777" w:rsidR="00632DD6" w:rsidRDefault="00632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A9AB6" w14:textId="77777777" w:rsidR="00632DD6" w:rsidRDefault="0063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9952" w14:textId="77777777" w:rsidR="00AA5662" w:rsidRDefault="00AA5662">
      <w:r>
        <w:separator/>
      </w:r>
    </w:p>
  </w:footnote>
  <w:footnote w:type="continuationSeparator" w:id="0">
    <w:p w14:paraId="7C084580" w14:textId="77777777" w:rsidR="00AA5662" w:rsidRDefault="00AA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2A37" w14:textId="77777777" w:rsidR="00632DD6" w:rsidRDefault="00632DD6">
    <w:pPr>
      <w:pStyle w:val="Header"/>
      <w:jc w:val="center"/>
    </w:pPr>
  </w:p>
  <w:p w14:paraId="7CD34D4E" w14:textId="77777777" w:rsidR="00632DD6" w:rsidRDefault="0063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4140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hybridMultilevel"/>
    <w:tmpl w:val="AEC418C8"/>
    <w:lvl w:ilvl="0" w:tplc="F52C4F90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hybridMultilevel"/>
    <w:tmpl w:val="535A35E8"/>
    <w:lvl w:ilvl="0" w:tplc="4AD07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2828"/>
    <w:multiLevelType w:val="hybridMultilevel"/>
    <w:tmpl w:val="23AE4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2E44"/>
    <w:multiLevelType w:val="hybridMultilevel"/>
    <w:tmpl w:val="0F82314E"/>
    <w:lvl w:ilvl="0" w:tplc="FDA2E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29"/>
    <w:rsid w:val="000B3AA5"/>
    <w:rsid w:val="000D0276"/>
    <w:rsid w:val="00121D91"/>
    <w:rsid w:val="001F4060"/>
    <w:rsid w:val="00265156"/>
    <w:rsid w:val="00410B24"/>
    <w:rsid w:val="005E7785"/>
    <w:rsid w:val="0060758D"/>
    <w:rsid w:val="00632DD6"/>
    <w:rsid w:val="00827F29"/>
    <w:rsid w:val="00A0700B"/>
    <w:rsid w:val="00AA5662"/>
    <w:rsid w:val="00B77A58"/>
    <w:rsid w:val="00BE298A"/>
    <w:rsid w:val="00D27BE7"/>
    <w:rsid w:val="00E576FE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D9D9"/>
  <w15:chartTrackingRefBased/>
  <w15:docId w15:val="{3AFE2C58-C2BB-426E-9B54-2A83A8F7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827F2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2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27F29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27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82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27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B4D9-6EB6-4212-9EBE-B268B11B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Makay</dc:creator>
  <cp:keywords/>
  <dc:description/>
  <cp:lastModifiedBy>Sandra Krause</cp:lastModifiedBy>
  <cp:revision>2</cp:revision>
  <dcterms:created xsi:type="dcterms:W3CDTF">2020-02-21T19:59:00Z</dcterms:created>
  <dcterms:modified xsi:type="dcterms:W3CDTF">2020-02-21T19:59:00Z</dcterms:modified>
</cp:coreProperties>
</file>